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AB4" w:rsidRDefault="00AF1D4A">
      <w:pPr>
        <w:rPr>
          <w:rFonts w:ascii="Arial" w:eastAsia="Arial" w:hAnsi="Arial" w:cs="Arial"/>
          <w:b/>
          <w:sz w:val="36"/>
          <w:szCs w:val="36"/>
        </w:rPr>
      </w:pPr>
      <w:r>
        <w:rPr>
          <w:rFonts w:ascii="Arial" w:eastAsia="Arial" w:hAnsi="Arial" w:cs="Arial"/>
          <w:b/>
          <w:sz w:val="36"/>
          <w:szCs w:val="36"/>
        </w:rPr>
        <w:t xml:space="preserve">Schedule </w:t>
      </w:r>
      <w:bookmarkStart w:id="0" w:name="bookmark=id.gjdgxs" w:colFirst="0" w:colLast="0"/>
      <w:bookmarkEnd w:id="0"/>
      <w:r>
        <w:rPr>
          <w:rFonts w:ascii="Arial" w:eastAsia="Arial" w:hAnsi="Arial" w:cs="Arial"/>
          <w:b/>
          <w:sz w:val="36"/>
          <w:szCs w:val="36"/>
        </w:rPr>
        <w:t>3 (</w:t>
      </w:r>
      <w:bookmarkStart w:id="1" w:name="bookmark=id.30j0zll" w:colFirst="0" w:colLast="0"/>
      <w:bookmarkEnd w:id="1"/>
      <w:r>
        <w:rPr>
          <w:rFonts w:ascii="Arial" w:eastAsia="Arial" w:hAnsi="Arial" w:cs="Arial"/>
          <w:b/>
          <w:sz w:val="36"/>
          <w:szCs w:val="36"/>
        </w:rPr>
        <w:t>Charges)</w:t>
      </w:r>
    </w:p>
    <w:p w:rsidR="001F4AB4" w:rsidRDefault="00AF1D4A">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H</w:t>
      </w:r>
      <w:r>
        <w:rPr>
          <w:rFonts w:ascii="Arial" w:eastAsia="Arial" w:hAnsi="Arial" w:cs="Arial"/>
          <w:b/>
          <w:color w:val="000000"/>
          <w:sz w:val="24"/>
          <w:szCs w:val="24"/>
        </w:rPr>
        <w:t>ow Charges are calculated</w:t>
      </w:r>
    </w:p>
    <w:p w:rsidR="001F4AB4" w:rsidRDefault="00AF1D4A">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Charges:</w:t>
      </w:r>
    </w:p>
    <w:p w:rsidR="001F4AB4" w:rsidRDefault="00AF1D4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be calculated in accordance with the terms of this Schedule;</w:t>
      </w:r>
    </w:p>
    <w:p w:rsidR="001F4AB4" w:rsidRDefault="00AF1D4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cannot be increased except as specifically permitted by this Schedule and </w:t>
      </w:r>
      <w:proofErr w:type="gramStart"/>
      <w:r>
        <w:rPr>
          <w:rFonts w:ascii="Arial" w:eastAsia="Arial" w:hAnsi="Arial" w:cs="Arial"/>
          <w:color w:val="000000"/>
          <w:sz w:val="24"/>
          <w:szCs w:val="24"/>
        </w:rPr>
        <w:t>in particular shall</w:t>
      </w:r>
      <w:proofErr w:type="gramEnd"/>
      <w:r>
        <w:rPr>
          <w:rFonts w:ascii="Arial" w:eastAsia="Arial" w:hAnsi="Arial" w:cs="Arial"/>
          <w:color w:val="000000"/>
          <w:sz w:val="24"/>
          <w:szCs w:val="24"/>
        </w:rPr>
        <w:t xml:space="preserve"> only be subject to Indexation where specifically stated in the Award Form;</w:t>
      </w:r>
      <w:bookmarkStart w:id="3" w:name="_GoBack"/>
      <w:bookmarkEnd w:id="3"/>
      <w:r>
        <w:rPr>
          <w:rFonts w:ascii="Arial" w:eastAsia="Arial" w:hAnsi="Arial" w:cs="Arial"/>
          <w:color w:val="000000"/>
          <w:sz w:val="24"/>
          <w:szCs w:val="24"/>
        </w:rPr>
        <w:t xml:space="preserve"> and]</w:t>
      </w:r>
    </w:p>
    <w:p w:rsidR="001F4AB4" w:rsidRDefault="00AF1D4A">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Any variation to the Charges payable under a Contract must be agreed between the Supplier and the Buyer and implemented using the procedure set out in this Schedule.</w:t>
      </w:r>
    </w:p>
    <w:p w:rsidR="001F4AB4" w:rsidRDefault="00AF1D4A">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The pricing mechanisms</w:t>
      </w:r>
    </w:p>
    <w:p w:rsidR="001F4AB4" w:rsidRDefault="00AF1D4A">
      <w:pPr>
        <w:pBdr>
          <w:top w:val="nil"/>
          <w:left w:val="nil"/>
          <w:bottom w:val="nil"/>
          <w:right w:val="nil"/>
          <w:between w:val="nil"/>
        </w:pBdr>
        <w:tabs>
          <w:tab w:val="left" w:pos="1134"/>
        </w:tabs>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w:t>
      </w:r>
      <w:r>
        <w:rPr>
          <w:rFonts w:ascii="Arial" w:eastAsia="Arial" w:hAnsi="Arial" w:cs="Arial"/>
          <w:sz w:val="24"/>
          <w:szCs w:val="24"/>
        </w:rPr>
        <w:t>1</w:t>
      </w:r>
      <w:r>
        <w:rPr>
          <w:rFonts w:ascii="Arial" w:eastAsia="Arial" w:hAnsi="Arial" w:cs="Arial"/>
          <w:color w:val="000000"/>
          <w:sz w:val="24"/>
          <w:szCs w:val="24"/>
        </w:rPr>
        <w:t xml:space="preserve"> shall be avail</w:t>
      </w:r>
      <w:r>
        <w:rPr>
          <w:rFonts w:ascii="Arial" w:eastAsia="Arial" w:hAnsi="Arial" w:cs="Arial"/>
          <w:color w:val="000000"/>
          <w:sz w:val="24"/>
          <w:szCs w:val="24"/>
        </w:rPr>
        <w:t>able for use in calculation of Charges in this Contract.</w:t>
      </w:r>
    </w:p>
    <w:p w:rsidR="001F4AB4" w:rsidRDefault="00AF1D4A">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5" w:name="bookmark=id.2et92p0" w:colFirst="0" w:colLast="0"/>
      <w:bookmarkStart w:id="6" w:name="_heading=h.3znysh7" w:colFirst="0" w:colLast="0"/>
      <w:bookmarkEnd w:id="5"/>
      <w:bookmarkEnd w:id="6"/>
      <w:r>
        <w:rPr>
          <w:rFonts w:ascii="Arial" w:eastAsia="Arial" w:hAnsi="Arial" w:cs="Arial"/>
          <w:b/>
          <w:color w:val="000000"/>
          <w:sz w:val="24"/>
          <w:szCs w:val="24"/>
        </w:rPr>
        <w:t xml:space="preserve">Are costs and expenses included in the </w:t>
      </w:r>
      <w:proofErr w:type="gramStart"/>
      <w:r>
        <w:rPr>
          <w:rFonts w:ascii="Arial" w:eastAsia="Arial" w:hAnsi="Arial" w:cs="Arial"/>
          <w:b/>
          <w:color w:val="000000"/>
          <w:sz w:val="24"/>
          <w:szCs w:val="24"/>
        </w:rPr>
        <w:t>Charges</w:t>
      </w:r>
      <w:proofErr w:type="gramEnd"/>
    </w:p>
    <w:p w:rsidR="001F4AB4" w:rsidRDefault="00AF1D4A">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Except as expressly set out in Paragraph 5 below, or otherwise stated in the Award Form the Charges shall include all costs and expenses relating to the provision of Deliverables. No further amounts shall be payable in respect of matters such as:</w:t>
      </w:r>
    </w:p>
    <w:p w:rsidR="001F4AB4" w:rsidRDefault="00AF1D4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w:t>
      </w:r>
      <w:r>
        <w:rPr>
          <w:rFonts w:ascii="Arial" w:eastAsia="Arial" w:hAnsi="Arial" w:cs="Arial"/>
          <w:color w:val="000000"/>
          <w:sz w:val="24"/>
          <w:szCs w:val="24"/>
        </w:rPr>
        <w:t>l expenses such as travel, subsistence and lodging, document or report reproduction, shipping, desktop or office equipment costs, network or data interchange costs or other telecommunications charges; or</w:t>
      </w:r>
    </w:p>
    <w:p w:rsidR="001F4AB4" w:rsidRDefault="00AF1D4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costs incurred prior to the commencement of this Con</w:t>
      </w:r>
      <w:r>
        <w:rPr>
          <w:rFonts w:ascii="Arial" w:eastAsia="Arial" w:hAnsi="Arial" w:cs="Arial"/>
          <w:color w:val="000000"/>
          <w:sz w:val="24"/>
          <w:szCs w:val="24"/>
        </w:rPr>
        <w:t>tract.</w:t>
      </w:r>
    </w:p>
    <w:p w:rsidR="001F4AB4" w:rsidRDefault="00AF1D4A">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7" w:name="_heading=h.2et92p0" w:colFirst="0" w:colLast="0"/>
      <w:bookmarkEnd w:id="7"/>
      <w:r>
        <w:rPr>
          <w:rFonts w:ascii="Arial" w:eastAsia="Arial" w:hAnsi="Arial" w:cs="Arial"/>
          <w:b/>
          <w:color w:val="000000"/>
          <w:sz w:val="24"/>
          <w:szCs w:val="24"/>
        </w:rPr>
        <w:t>When the Supplier can ask to change the Charges</w:t>
      </w:r>
    </w:p>
    <w:p w:rsidR="001F4AB4" w:rsidRDefault="00AF1D4A">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will be fixed for the first </w:t>
      </w:r>
      <w:r>
        <w:rPr>
          <w:rFonts w:ascii="Arial" w:eastAsia="Arial" w:hAnsi="Arial" w:cs="Arial"/>
          <w:b/>
          <w:color w:val="000000"/>
          <w:sz w:val="24"/>
          <w:szCs w:val="24"/>
        </w:rPr>
        <w:t>two</w:t>
      </w:r>
      <w:r>
        <w:rPr>
          <w:rFonts w:ascii="Arial" w:eastAsia="Arial" w:hAnsi="Arial" w:cs="Arial"/>
          <w:color w:val="000000"/>
          <w:sz w:val="24"/>
          <w:szCs w:val="24"/>
        </w:rPr>
        <w:t xml:space="preserve"> years following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Charges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1F4AB4" w:rsidRDefault="00AF1D4A">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The Supplier shall give the Buyer at least three (3) Months' notice in writing prior to a Review Date where it wa</w:t>
      </w:r>
      <w:r>
        <w:rPr>
          <w:rFonts w:ascii="Arial" w:eastAsia="Arial" w:hAnsi="Arial" w:cs="Arial"/>
          <w:color w:val="000000"/>
          <w:sz w:val="24"/>
          <w:szCs w:val="24"/>
        </w:rPr>
        <w:t>nts to request an increase.  If the Supplier does not give notice in time then it will only be able to request an increase prior to the next Review Date.</w:t>
      </w:r>
    </w:p>
    <w:p w:rsidR="001F4AB4" w:rsidRDefault="00AF1D4A">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1F4AB4" w:rsidRDefault="00AF1D4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list of the Charges to be reviewed;</w:t>
      </w:r>
    </w:p>
    <w:p w:rsidR="001F4AB4" w:rsidRDefault="00AF1D4A">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of the Charges under review, written evidence of the justification for the requested increase including:</w:t>
      </w:r>
    </w:p>
    <w:p w:rsidR="001F4AB4" w:rsidRDefault="00AF1D4A">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b/>
          <w:i/>
          <w:color w:val="000000"/>
          <w:sz w:val="24"/>
          <w:szCs w:val="24"/>
        </w:rPr>
      </w:pPr>
      <w:r>
        <w:rPr>
          <w:rFonts w:ascii="Arial" w:eastAsia="Arial" w:hAnsi="Arial" w:cs="Arial"/>
          <w:color w:val="000000"/>
          <w:sz w:val="24"/>
          <w:szCs w:val="24"/>
        </w:rPr>
        <w:t>a breakdown of the profit and cost components that comprise the relevant part of the Charges;</w:t>
      </w:r>
    </w:p>
    <w:p w:rsidR="001F4AB4" w:rsidRDefault="00AF1D4A">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details of the movement in the different identified cost components of the relevant Charge;</w:t>
      </w:r>
    </w:p>
    <w:p w:rsidR="001F4AB4" w:rsidRDefault="00AF1D4A">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Charge;</w:t>
      </w:r>
    </w:p>
    <w:p w:rsidR="001F4AB4" w:rsidRDefault="00AF1D4A">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evidence that the Supplier has attempted to mitigate against the increa</w:t>
      </w:r>
      <w:r>
        <w:rPr>
          <w:rFonts w:ascii="Arial" w:eastAsia="Arial" w:hAnsi="Arial" w:cs="Arial"/>
          <w:color w:val="000000"/>
        </w:rPr>
        <w:t>se in the relevant cost components; and</w:t>
      </w:r>
    </w:p>
    <w:p w:rsidR="001F4AB4" w:rsidRDefault="00AF1D4A">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b/>
          <w:i/>
          <w:color w:val="000000"/>
          <w:sz w:val="24"/>
          <w:szCs w:val="24"/>
        </w:rPr>
      </w:pPr>
      <w:r>
        <w:rPr>
          <w:rFonts w:ascii="Arial" w:eastAsia="Arial" w:hAnsi="Arial" w:cs="Arial"/>
          <w:color w:val="000000"/>
        </w:rPr>
        <w:t>evidence that the Supplier’s profit component of the relevant Charge is no greater than that applying to Charges using the same pricing mechanism as at the Contract Commencement Date</w:t>
      </w:r>
    </w:p>
    <w:p w:rsidR="001F4AB4" w:rsidRDefault="00AF1D4A">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Buyer shall consider each req</w:t>
      </w:r>
      <w:r>
        <w:rPr>
          <w:rFonts w:ascii="Arial" w:eastAsia="Arial" w:hAnsi="Arial" w:cs="Arial"/>
          <w:color w:val="000000"/>
          <w:sz w:val="24"/>
          <w:szCs w:val="24"/>
        </w:rPr>
        <w:t>uest for a price increase.  The Buyer may grant Approval to an increase at its sole discretion.</w:t>
      </w:r>
    </w:p>
    <w:p w:rsidR="001F4AB4" w:rsidRDefault="00AF1D4A">
      <w:pPr>
        <w:keepNext/>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the Buyer approves an increase then it will be implemented from the first (1st) Working Day following the relevant Review Date or such later date as the Buyer may determine at its sole discretion and Annex </w:t>
      </w:r>
      <w:r>
        <w:rPr>
          <w:rFonts w:ascii="Arial" w:eastAsia="Arial" w:hAnsi="Arial" w:cs="Arial"/>
          <w:sz w:val="24"/>
          <w:szCs w:val="24"/>
        </w:rPr>
        <w:t>1</w:t>
      </w:r>
      <w:r>
        <w:rPr>
          <w:rFonts w:ascii="Arial" w:eastAsia="Arial" w:hAnsi="Arial" w:cs="Arial"/>
          <w:color w:val="000000"/>
          <w:sz w:val="24"/>
          <w:szCs w:val="24"/>
        </w:rPr>
        <w:t xml:space="preserve"> shall be updated accordingly.</w:t>
      </w:r>
    </w:p>
    <w:p w:rsidR="001F4AB4" w:rsidRDefault="00AF1D4A">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Other events</w:t>
      </w:r>
      <w:r>
        <w:rPr>
          <w:rFonts w:ascii="Arial" w:eastAsia="Arial" w:hAnsi="Arial" w:cs="Arial"/>
          <w:b/>
          <w:color w:val="000000"/>
          <w:sz w:val="24"/>
          <w:szCs w:val="24"/>
        </w:rPr>
        <w:t xml:space="preserve"> that allow the Supplier to change the Charges</w:t>
      </w:r>
    </w:p>
    <w:p w:rsidR="001F4AB4" w:rsidRDefault="00AF1D4A">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can also be varied (and Annex </w:t>
      </w:r>
      <w:r>
        <w:rPr>
          <w:rFonts w:ascii="Arial" w:eastAsia="Arial" w:hAnsi="Arial" w:cs="Arial"/>
          <w:sz w:val="24"/>
          <w:szCs w:val="24"/>
        </w:rPr>
        <w:t>1</w:t>
      </w:r>
      <w:r>
        <w:rPr>
          <w:rFonts w:ascii="Arial" w:eastAsia="Arial" w:hAnsi="Arial" w:cs="Arial"/>
          <w:color w:val="000000"/>
          <w:sz w:val="24"/>
          <w:szCs w:val="24"/>
        </w:rPr>
        <w:t xml:space="preserve"> will be updated accordingly) due to:</w:t>
      </w:r>
    </w:p>
    <w:p w:rsidR="001F4AB4" w:rsidRDefault="00AF1D4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Specific Change in Law in accordance with Clauses 28.6 to 28.8;</w:t>
      </w:r>
    </w:p>
    <w:p w:rsidR="001F4AB4" w:rsidRDefault="00AF1D4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Charges; </w:t>
      </w:r>
    </w:p>
    <w:p w:rsidR="001F4AB4" w:rsidRDefault="00AF1D4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0" w:name="_heading=h.44sinio" w:colFirst="0" w:colLast="0"/>
      <w:bookmarkEnd w:id="10"/>
      <w:r>
        <w:rPr>
          <w:rFonts w:ascii="Arial" w:eastAsia="Arial" w:hAnsi="Arial" w:cs="Arial"/>
          <w:color w:val="000000"/>
          <w:sz w:val="24"/>
          <w:szCs w:val="24"/>
        </w:rPr>
        <w:t>verification of the Allowable Assumptions in accordance with Paragraph 9.</w:t>
      </w:r>
    </w:p>
    <w:p w:rsidR="001F4AB4" w:rsidRDefault="001F4AB4">
      <w:pPr>
        <w:keepNext/>
        <w:pBdr>
          <w:top w:val="nil"/>
          <w:left w:val="nil"/>
          <w:bottom w:val="nil"/>
          <w:right w:val="nil"/>
          <w:between w:val="nil"/>
        </w:pBdr>
        <w:tabs>
          <w:tab w:val="left" w:pos="0"/>
        </w:tabs>
        <w:spacing w:before="120" w:after="240" w:line="240" w:lineRule="auto"/>
        <w:rPr>
          <w:rFonts w:ascii="Arial" w:eastAsia="Arial" w:hAnsi="Arial" w:cs="Arial"/>
          <w:color w:val="000000"/>
          <w:sz w:val="24"/>
          <w:szCs w:val="24"/>
        </w:rPr>
      </w:pPr>
      <w:bookmarkStart w:id="11" w:name="_heading=h.1ksv4uv" w:colFirst="0" w:colLast="0"/>
      <w:bookmarkEnd w:id="11"/>
    </w:p>
    <w:p w:rsidR="001F4AB4" w:rsidRDefault="00AF1D4A">
      <w:pPr>
        <w:rPr>
          <w:rFonts w:ascii="Arial" w:eastAsia="Arial" w:hAnsi="Arial" w:cs="Arial"/>
          <w:b/>
          <w:sz w:val="36"/>
          <w:szCs w:val="36"/>
        </w:rPr>
      </w:pPr>
      <w:bookmarkStart w:id="12" w:name="_heading=h.1t3h5sf" w:colFirst="0" w:colLast="0"/>
      <w:bookmarkEnd w:id="12"/>
      <w:r>
        <w:br w:type="page"/>
      </w:r>
      <w:r>
        <w:rPr>
          <w:rFonts w:ascii="Arial" w:eastAsia="Arial" w:hAnsi="Arial" w:cs="Arial"/>
          <w:b/>
          <w:sz w:val="36"/>
          <w:szCs w:val="36"/>
        </w:rPr>
        <w:lastRenderedPageBreak/>
        <w:t xml:space="preserve">Annex </w:t>
      </w:r>
      <w:bookmarkStart w:id="13" w:name="bookmark=id.2jxsxqh" w:colFirst="0" w:colLast="0"/>
      <w:bookmarkEnd w:id="13"/>
      <w:r>
        <w:rPr>
          <w:rFonts w:ascii="Arial" w:eastAsia="Arial" w:hAnsi="Arial" w:cs="Arial"/>
          <w:b/>
          <w:sz w:val="36"/>
          <w:szCs w:val="36"/>
        </w:rPr>
        <w:t>1: Rates and Prices</w:t>
      </w:r>
    </w:p>
    <w:p w:rsidR="001F4AB4" w:rsidRDefault="00AF1D4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Firm Prices</w:t>
      </w:r>
    </w:p>
    <w:p w:rsidR="001F4AB4" w:rsidRDefault="00AF1D4A">
      <w:pPr>
        <w:keepNext/>
        <w:spacing w:before="120" w:after="120" w:line="240" w:lineRule="auto"/>
        <w:rPr>
          <w:rFonts w:ascii="Arial" w:eastAsia="Arial" w:hAnsi="Arial" w:cs="Arial"/>
          <w:b/>
          <w:i/>
          <w:sz w:val="24"/>
          <w:szCs w:val="24"/>
          <w:highlight w:val="yellow"/>
        </w:rPr>
      </w:pPr>
      <w:r>
        <w:rPr>
          <w:rFonts w:ascii="Arial" w:eastAsia="Arial" w:hAnsi="Arial" w:cs="Arial"/>
          <w:color w:val="000000"/>
          <w:sz w:val="24"/>
          <w:szCs w:val="24"/>
        </w:rPr>
        <w:t xml:space="preserve"> The rates below shall not be subject to variat</w:t>
      </w:r>
      <w:r>
        <w:rPr>
          <w:rFonts w:ascii="Arial" w:eastAsia="Arial" w:hAnsi="Arial" w:cs="Arial"/>
          <w:color w:val="000000"/>
          <w:sz w:val="24"/>
          <w:szCs w:val="24"/>
        </w:rPr>
        <w:t xml:space="preserve">ion by way of Indexation. </w:t>
      </w:r>
      <w:r>
        <w:t xml:space="preserve">     </w:t>
      </w:r>
    </w:p>
    <w:tbl>
      <w:tblPr>
        <w:tblStyle w:val="a7"/>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1F4AB4">
        <w:tc>
          <w:tcPr>
            <w:tcW w:w="4508" w:type="dxa"/>
            <w:shd w:val="clear" w:color="auto" w:fill="548DD4"/>
          </w:tcPr>
          <w:p w:rsidR="001F4AB4" w:rsidRDefault="00AF1D4A">
            <w:pPr>
              <w:keepNext/>
              <w:pBdr>
                <w:top w:val="nil"/>
                <w:left w:val="nil"/>
                <w:bottom w:val="nil"/>
                <w:right w:val="nil"/>
                <w:between w:val="nil"/>
              </w:pBdr>
              <w:spacing w:before="240" w:after="120"/>
              <w:ind w:left="142" w:hanging="142"/>
              <w:rPr>
                <w:rFonts w:ascii="Arial" w:eastAsia="Arial" w:hAnsi="Arial" w:cs="Arial"/>
                <w:b/>
                <w:color w:val="000000"/>
                <w:sz w:val="24"/>
                <w:szCs w:val="24"/>
              </w:rPr>
            </w:pPr>
            <w:r>
              <w:rPr>
                <w:rFonts w:ascii="Arial" w:eastAsia="Arial" w:hAnsi="Arial" w:cs="Arial"/>
                <w:b/>
                <w:color w:val="000000"/>
                <w:sz w:val="24"/>
                <w:szCs w:val="24"/>
              </w:rPr>
              <w:t>Type of Charge</w:t>
            </w:r>
          </w:p>
        </w:tc>
        <w:tc>
          <w:tcPr>
            <w:tcW w:w="4508" w:type="dxa"/>
            <w:shd w:val="clear" w:color="auto" w:fill="548DD4"/>
          </w:tcPr>
          <w:p w:rsidR="001F4AB4" w:rsidRDefault="00AF1D4A">
            <w:pPr>
              <w:keepNext/>
              <w:pBdr>
                <w:top w:val="nil"/>
                <w:left w:val="nil"/>
                <w:bottom w:val="nil"/>
                <w:right w:val="nil"/>
                <w:between w:val="nil"/>
              </w:pBdr>
              <w:spacing w:before="240" w:after="120"/>
              <w:rPr>
                <w:rFonts w:ascii="Arial" w:eastAsia="Arial" w:hAnsi="Arial" w:cs="Arial"/>
                <w:b/>
                <w:color w:val="000000"/>
                <w:sz w:val="24"/>
                <w:szCs w:val="24"/>
              </w:rPr>
            </w:pPr>
            <w:r>
              <w:rPr>
                <w:rFonts w:ascii="Arial" w:eastAsia="Arial" w:hAnsi="Arial" w:cs="Arial"/>
                <w:b/>
                <w:color w:val="000000"/>
                <w:sz w:val="24"/>
                <w:szCs w:val="24"/>
              </w:rPr>
              <w:t>Firm Charge (£)</w:t>
            </w:r>
          </w:p>
        </w:tc>
      </w:tr>
      <w:tr w:rsidR="001F4AB4">
        <w:tc>
          <w:tcPr>
            <w:tcW w:w="4508" w:type="dxa"/>
          </w:tcPr>
          <w:p w:rsidR="001F4AB4" w:rsidRDefault="00AF1D4A">
            <w:pPr>
              <w:keepNext/>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Core costs for energy trading system, including: Licencing, hosting, customer support and helpdesk</w:t>
            </w:r>
          </w:p>
        </w:tc>
        <w:tc>
          <w:tcPr>
            <w:tcW w:w="4508" w:type="dxa"/>
            <w:shd w:val="clear" w:color="auto" w:fill="FFFFFF"/>
          </w:tcPr>
          <w:p w:rsidR="001F4AB4" w:rsidRDefault="001F4AB4">
            <w:pPr>
              <w:keepNext/>
              <w:pBdr>
                <w:top w:val="nil"/>
                <w:left w:val="nil"/>
                <w:bottom w:val="nil"/>
                <w:right w:val="nil"/>
                <w:between w:val="nil"/>
              </w:pBdr>
              <w:spacing w:before="240" w:after="120"/>
              <w:ind w:left="142" w:hanging="142"/>
              <w:rPr>
                <w:rFonts w:ascii="Arial" w:eastAsia="Arial" w:hAnsi="Arial" w:cs="Arial"/>
                <w:color w:val="000000"/>
                <w:sz w:val="24"/>
                <w:szCs w:val="24"/>
              </w:rPr>
            </w:pPr>
          </w:p>
        </w:tc>
      </w:tr>
      <w:tr w:rsidR="001F4AB4">
        <w:trPr>
          <w:trHeight w:val="620"/>
        </w:trPr>
        <w:tc>
          <w:tcPr>
            <w:tcW w:w="4508" w:type="dxa"/>
          </w:tcPr>
          <w:p w:rsidR="001F4AB4" w:rsidRDefault="00AF1D4A">
            <w:pPr>
              <w:pBdr>
                <w:top w:val="nil"/>
                <w:left w:val="nil"/>
                <w:bottom w:val="nil"/>
                <w:right w:val="nil"/>
                <w:between w:val="nil"/>
              </w:pBdr>
              <w:spacing w:before="240" w:after="120"/>
              <w:ind w:left="142" w:hanging="142"/>
              <w:rPr>
                <w:rFonts w:ascii="Arial" w:eastAsia="Arial" w:hAnsi="Arial" w:cs="Arial"/>
                <w:sz w:val="24"/>
                <w:szCs w:val="24"/>
              </w:rPr>
            </w:pPr>
            <w:r>
              <w:rPr>
                <w:rFonts w:ascii="Arial" w:eastAsia="Arial" w:hAnsi="Arial" w:cs="Arial"/>
                <w:sz w:val="24"/>
                <w:szCs w:val="24"/>
              </w:rPr>
              <w:t>Setup and configuration of the system, including: Core system deployment, configuration, data migration, setup of data feeds, testing, etc.</w:t>
            </w:r>
          </w:p>
        </w:tc>
        <w:tc>
          <w:tcPr>
            <w:tcW w:w="4508" w:type="dxa"/>
            <w:shd w:val="clear" w:color="auto" w:fill="FFFFFF"/>
          </w:tcPr>
          <w:p w:rsidR="001F4AB4" w:rsidRDefault="001F4AB4">
            <w:pPr>
              <w:pBdr>
                <w:top w:val="nil"/>
                <w:left w:val="nil"/>
                <w:bottom w:val="nil"/>
                <w:right w:val="nil"/>
                <w:between w:val="nil"/>
              </w:pBdr>
              <w:spacing w:before="240" w:after="120"/>
              <w:ind w:left="142" w:hanging="142"/>
              <w:rPr>
                <w:rFonts w:ascii="Arial" w:eastAsia="Arial" w:hAnsi="Arial" w:cs="Arial"/>
                <w:color w:val="000000"/>
                <w:sz w:val="24"/>
                <w:szCs w:val="24"/>
              </w:rPr>
            </w:pPr>
          </w:p>
        </w:tc>
      </w:tr>
      <w:tr w:rsidR="001F4AB4">
        <w:trPr>
          <w:trHeight w:val="620"/>
        </w:trPr>
        <w:tc>
          <w:tcPr>
            <w:tcW w:w="4508" w:type="dxa"/>
          </w:tcPr>
          <w:p w:rsidR="001F4AB4" w:rsidRDefault="00AF1D4A">
            <w:pPr>
              <w:pBdr>
                <w:top w:val="nil"/>
                <w:left w:val="nil"/>
                <w:bottom w:val="nil"/>
                <w:right w:val="nil"/>
                <w:between w:val="nil"/>
              </w:pBdr>
              <w:spacing w:before="240" w:after="120"/>
              <w:ind w:left="142" w:hanging="142"/>
              <w:rPr>
                <w:rFonts w:ascii="Arial" w:eastAsia="Arial" w:hAnsi="Arial" w:cs="Arial"/>
                <w:sz w:val="24"/>
                <w:szCs w:val="24"/>
              </w:rPr>
            </w:pPr>
            <w:r>
              <w:rPr>
                <w:rFonts w:ascii="Arial" w:eastAsia="Arial" w:hAnsi="Arial" w:cs="Arial"/>
                <w:sz w:val="24"/>
                <w:szCs w:val="24"/>
              </w:rPr>
              <w:t>Training of CCS staff in the use of the ETRM</w:t>
            </w:r>
          </w:p>
        </w:tc>
        <w:tc>
          <w:tcPr>
            <w:tcW w:w="4508" w:type="dxa"/>
            <w:shd w:val="clear" w:color="auto" w:fill="FFFFFF"/>
          </w:tcPr>
          <w:p w:rsidR="001F4AB4" w:rsidRDefault="001F4AB4">
            <w:pPr>
              <w:pBdr>
                <w:top w:val="nil"/>
                <w:left w:val="nil"/>
                <w:bottom w:val="nil"/>
                <w:right w:val="nil"/>
                <w:between w:val="nil"/>
              </w:pBdr>
              <w:spacing w:before="240" w:after="120"/>
              <w:ind w:left="142" w:hanging="142"/>
              <w:rPr>
                <w:rFonts w:ascii="Arial" w:eastAsia="Arial" w:hAnsi="Arial" w:cs="Arial"/>
                <w:color w:val="000000"/>
                <w:sz w:val="24"/>
                <w:szCs w:val="24"/>
              </w:rPr>
            </w:pPr>
          </w:p>
        </w:tc>
      </w:tr>
      <w:tr w:rsidR="001F4AB4">
        <w:trPr>
          <w:trHeight w:val="620"/>
        </w:trPr>
        <w:tc>
          <w:tcPr>
            <w:tcW w:w="4508" w:type="dxa"/>
          </w:tcPr>
          <w:p w:rsidR="001F4AB4" w:rsidRDefault="00AF1D4A">
            <w:pPr>
              <w:pBdr>
                <w:top w:val="nil"/>
                <w:left w:val="nil"/>
                <w:bottom w:val="nil"/>
                <w:right w:val="nil"/>
                <w:between w:val="nil"/>
              </w:pBdr>
              <w:spacing w:before="240" w:after="120"/>
              <w:ind w:left="142" w:hanging="142"/>
              <w:rPr>
                <w:rFonts w:ascii="Arial" w:eastAsia="Arial" w:hAnsi="Arial" w:cs="Arial"/>
                <w:sz w:val="24"/>
                <w:szCs w:val="24"/>
                <w:highlight w:val="yellow"/>
              </w:rPr>
            </w:pPr>
            <w:r>
              <w:rPr>
                <w:rFonts w:ascii="Arial" w:eastAsia="Arial" w:hAnsi="Arial" w:cs="Arial"/>
                <w:sz w:val="24"/>
                <w:szCs w:val="24"/>
                <w:highlight w:val="yellow"/>
              </w:rPr>
              <w:t>[Enter description of any other costs]</w:t>
            </w:r>
          </w:p>
        </w:tc>
        <w:tc>
          <w:tcPr>
            <w:tcW w:w="4508" w:type="dxa"/>
            <w:shd w:val="clear" w:color="auto" w:fill="FFFFFF"/>
          </w:tcPr>
          <w:p w:rsidR="001F4AB4" w:rsidRDefault="001F4AB4">
            <w:pPr>
              <w:pBdr>
                <w:top w:val="nil"/>
                <w:left w:val="nil"/>
                <w:bottom w:val="nil"/>
                <w:right w:val="nil"/>
                <w:between w:val="nil"/>
              </w:pBdr>
              <w:spacing w:before="240" w:after="120"/>
              <w:ind w:left="142" w:hanging="142"/>
              <w:rPr>
                <w:rFonts w:ascii="Arial" w:eastAsia="Arial" w:hAnsi="Arial" w:cs="Arial"/>
                <w:color w:val="000000"/>
                <w:sz w:val="24"/>
                <w:szCs w:val="24"/>
              </w:rPr>
            </w:pPr>
          </w:p>
        </w:tc>
      </w:tr>
      <w:tr w:rsidR="001F4AB4">
        <w:trPr>
          <w:trHeight w:val="620"/>
        </w:trPr>
        <w:tc>
          <w:tcPr>
            <w:tcW w:w="4508" w:type="dxa"/>
          </w:tcPr>
          <w:p w:rsidR="001F4AB4" w:rsidRDefault="00AF1D4A">
            <w:pPr>
              <w:spacing w:before="240" w:after="120"/>
              <w:ind w:left="142"/>
              <w:rPr>
                <w:rFonts w:ascii="Arial" w:eastAsia="Arial" w:hAnsi="Arial" w:cs="Arial"/>
                <w:sz w:val="24"/>
                <w:szCs w:val="24"/>
              </w:rPr>
            </w:pPr>
            <w:r>
              <w:rPr>
                <w:rFonts w:ascii="Arial" w:eastAsia="Arial" w:hAnsi="Arial" w:cs="Arial"/>
                <w:sz w:val="24"/>
                <w:szCs w:val="24"/>
                <w:highlight w:val="yellow"/>
              </w:rPr>
              <w:t>[Enter description of any other costs]</w:t>
            </w:r>
          </w:p>
        </w:tc>
        <w:tc>
          <w:tcPr>
            <w:tcW w:w="4508" w:type="dxa"/>
            <w:shd w:val="clear" w:color="auto" w:fill="FFFFFF"/>
          </w:tcPr>
          <w:p w:rsidR="001F4AB4" w:rsidRDefault="001F4AB4">
            <w:pPr>
              <w:pBdr>
                <w:top w:val="nil"/>
                <w:left w:val="nil"/>
                <w:bottom w:val="nil"/>
                <w:right w:val="nil"/>
                <w:between w:val="nil"/>
              </w:pBdr>
              <w:spacing w:before="240" w:after="120"/>
              <w:ind w:left="142" w:hanging="142"/>
              <w:rPr>
                <w:rFonts w:ascii="Arial" w:eastAsia="Arial" w:hAnsi="Arial" w:cs="Arial"/>
                <w:color w:val="000000"/>
                <w:sz w:val="24"/>
                <w:szCs w:val="24"/>
              </w:rPr>
            </w:pPr>
          </w:p>
        </w:tc>
      </w:tr>
      <w:tr w:rsidR="001F4AB4">
        <w:trPr>
          <w:trHeight w:val="620"/>
        </w:trPr>
        <w:tc>
          <w:tcPr>
            <w:tcW w:w="4508" w:type="dxa"/>
          </w:tcPr>
          <w:p w:rsidR="001F4AB4" w:rsidRDefault="00AF1D4A">
            <w:pPr>
              <w:spacing w:before="240" w:after="120"/>
              <w:ind w:left="142"/>
              <w:rPr>
                <w:rFonts w:ascii="Arial" w:eastAsia="Arial" w:hAnsi="Arial" w:cs="Arial"/>
                <w:sz w:val="24"/>
                <w:szCs w:val="24"/>
              </w:rPr>
            </w:pPr>
            <w:r>
              <w:rPr>
                <w:rFonts w:ascii="Arial" w:eastAsia="Arial" w:hAnsi="Arial" w:cs="Arial"/>
                <w:sz w:val="24"/>
                <w:szCs w:val="24"/>
                <w:highlight w:val="yellow"/>
              </w:rPr>
              <w:t>[Enter description of any other costs]</w:t>
            </w:r>
          </w:p>
        </w:tc>
        <w:tc>
          <w:tcPr>
            <w:tcW w:w="4508" w:type="dxa"/>
            <w:shd w:val="clear" w:color="auto" w:fill="FFFFFF"/>
          </w:tcPr>
          <w:p w:rsidR="001F4AB4" w:rsidRDefault="001F4AB4">
            <w:pPr>
              <w:pBdr>
                <w:top w:val="nil"/>
                <w:left w:val="nil"/>
                <w:bottom w:val="nil"/>
                <w:right w:val="nil"/>
                <w:between w:val="nil"/>
              </w:pBdr>
              <w:spacing w:before="240" w:after="120"/>
              <w:ind w:left="142" w:hanging="142"/>
              <w:rPr>
                <w:rFonts w:ascii="Arial" w:eastAsia="Arial" w:hAnsi="Arial" w:cs="Arial"/>
                <w:color w:val="000000"/>
                <w:sz w:val="24"/>
                <w:szCs w:val="24"/>
              </w:rPr>
            </w:pPr>
          </w:p>
        </w:tc>
      </w:tr>
      <w:tr w:rsidR="001F4AB4">
        <w:trPr>
          <w:trHeight w:val="620"/>
        </w:trPr>
        <w:tc>
          <w:tcPr>
            <w:tcW w:w="4508" w:type="dxa"/>
          </w:tcPr>
          <w:p w:rsidR="001F4AB4" w:rsidRDefault="00AF1D4A">
            <w:pPr>
              <w:spacing w:before="240" w:after="120"/>
              <w:ind w:left="142"/>
              <w:rPr>
                <w:rFonts w:ascii="Arial" w:eastAsia="Arial" w:hAnsi="Arial" w:cs="Arial"/>
                <w:sz w:val="24"/>
                <w:szCs w:val="24"/>
              </w:rPr>
            </w:pPr>
            <w:r>
              <w:rPr>
                <w:rFonts w:ascii="Arial" w:eastAsia="Arial" w:hAnsi="Arial" w:cs="Arial"/>
                <w:sz w:val="24"/>
                <w:szCs w:val="24"/>
                <w:highlight w:val="yellow"/>
              </w:rPr>
              <w:t>[Enter description of any other costs]</w:t>
            </w:r>
          </w:p>
        </w:tc>
        <w:tc>
          <w:tcPr>
            <w:tcW w:w="4508" w:type="dxa"/>
            <w:shd w:val="clear" w:color="auto" w:fill="FFFFFF"/>
          </w:tcPr>
          <w:p w:rsidR="001F4AB4" w:rsidRDefault="001F4AB4">
            <w:pPr>
              <w:pBdr>
                <w:top w:val="nil"/>
                <w:left w:val="nil"/>
                <w:bottom w:val="nil"/>
                <w:right w:val="nil"/>
                <w:between w:val="nil"/>
              </w:pBdr>
              <w:spacing w:before="240" w:after="120"/>
              <w:ind w:left="142" w:hanging="142"/>
              <w:rPr>
                <w:rFonts w:ascii="Arial" w:eastAsia="Arial" w:hAnsi="Arial" w:cs="Arial"/>
                <w:color w:val="000000"/>
                <w:sz w:val="24"/>
                <w:szCs w:val="24"/>
              </w:rPr>
            </w:pPr>
          </w:p>
        </w:tc>
      </w:tr>
    </w:tbl>
    <w:p w:rsidR="001F4AB4" w:rsidRDefault="001F4AB4">
      <w:pPr>
        <w:rPr>
          <w:rFonts w:ascii="Arial" w:eastAsia="Arial" w:hAnsi="Arial" w:cs="Arial"/>
          <w:sz w:val="24"/>
          <w:szCs w:val="24"/>
        </w:rPr>
      </w:pPr>
    </w:p>
    <w:sectPr w:rsidR="001F4AB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D4A" w:rsidRDefault="00AF1D4A">
      <w:pPr>
        <w:spacing w:after="0" w:line="240" w:lineRule="auto"/>
      </w:pPr>
      <w:r>
        <w:separator/>
      </w:r>
    </w:p>
  </w:endnote>
  <w:endnote w:type="continuationSeparator" w:id="0">
    <w:p w:rsidR="00AF1D4A" w:rsidRDefault="00AF1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AB4" w:rsidRDefault="001F4AB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AB4" w:rsidRDefault="001F4A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1F4AB4" w:rsidRDefault="00AF1D4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v.1.2</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65B25">
      <w:rPr>
        <w:rFonts w:ascii="Arial" w:eastAsia="Arial" w:hAnsi="Arial" w:cs="Arial"/>
        <w:color w:val="000000"/>
        <w:sz w:val="20"/>
        <w:szCs w:val="20"/>
      </w:rPr>
      <w:fldChar w:fldCharType="separate"/>
    </w:r>
    <w:r w:rsidR="00465B2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F4AB4" w:rsidRDefault="001F4A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AB4" w:rsidRDefault="00AF1D4A">
    <w:pPr>
      <w:tabs>
        <w:tab w:val="center" w:pos="4513"/>
        <w:tab w:val="right" w:pos="9026"/>
      </w:tabs>
      <w:spacing w:after="0"/>
    </w:pPr>
    <w:r>
      <w:t>Framework Ref: RM</w:t>
    </w:r>
    <w:r>
      <w:tab/>
      <w:t xml:space="preserve">                                           </w:t>
    </w:r>
  </w:p>
  <w:p w:rsidR="001F4AB4" w:rsidRDefault="00AF1D4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F4AB4" w:rsidRDefault="00AF1D4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D4A" w:rsidRDefault="00AF1D4A">
      <w:pPr>
        <w:spacing w:after="0" w:line="240" w:lineRule="auto"/>
      </w:pPr>
      <w:r>
        <w:separator/>
      </w:r>
    </w:p>
  </w:footnote>
  <w:footnote w:type="continuationSeparator" w:id="0">
    <w:p w:rsidR="00AF1D4A" w:rsidRDefault="00AF1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AB4" w:rsidRDefault="001F4AB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AB4" w:rsidRDefault="00AF1D4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Schedule 3 (Charges), Crown Copyright 2023, </w:t>
    </w:r>
    <w:r w:rsidR="00465B25" w:rsidRPr="00465B25">
      <w:rPr>
        <w:rFonts w:ascii="Arial" w:eastAsia="Arial" w:hAnsi="Arial" w:cs="Arial"/>
        <w:color w:val="000000"/>
        <w:sz w:val="20"/>
        <w:szCs w:val="20"/>
      </w:rPr>
      <w:t>RM6385 Energy Trading and Risk Management (ETRM) System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AB4" w:rsidRDefault="00AF1D4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rsidR="001F4AB4" w:rsidRDefault="00AF1D4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704CB"/>
    <w:multiLevelType w:val="multilevel"/>
    <w:tmpl w:val="35BE0142"/>
    <w:lvl w:ilvl="0">
      <w:start w:val="1"/>
      <w:numFmt w:val="decimal"/>
      <w:pStyle w:val="GPSL1CLAUSEHEADING"/>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b w:val="0"/>
        <w:i w:val="0"/>
        <w:smallCaps w:val="0"/>
        <w:strike w:val="0"/>
        <w:color w:val="000000"/>
        <w:sz w:val="24"/>
        <w:szCs w:val="24"/>
        <w:u w:val="none"/>
        <w:vertAlign w:val="baseline"/>
      </w:rPr>
    </w:lvl>
    <w:lvl w:ilvl="3">
      <w:start w:val="1"/>
      <w:numFmt w:val="lowerLetter"/>
      <w:pStyle w:val="GPSL4numberedclause"/>
      <w:lvlText w:val="(%4)"/>
      <w:lvlJc w:val="left"/>
      <w:pPr>
        <w:ind w:left="2592" w:hanging="864"/>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B5E77BE"/>
    <w:multiLevelType w:val="multilevel"/>
    <w:tmpl w:val="FA820BB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AB4"/>
    <w:rsid w:val="001F4AB4"/>
    <w:rsid w:val="00465B25"/>
    <w:rsid w:val="00AF1D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CBB2"/>
  <w15:docId w15:val="{566741D9-73D3-4736-8305-77AC665B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link w:val="Heading7Char"/>
    <w:qFormat/>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Pr>
      <w:rFonts w:ascii="Arial" w:eastAsia="Times New Roman" w:hAnsi="Arial" w:cs="Arial"/>
      <w:sz w:val="24"/>
      <w:lang w:eastAsia="zh-CN"/>
    </w:rPr>
  </w:style>
  <w:style w:type="character" w:customStyle="1" w:styleId="GPSL3numberedclauseChar">
    <w:name w:val="GPS L3 numbered clause Char"/>
    <w:link w:val="GPSL3numberedclause"/>
    <w:rPr>
      <w:rFonts w:ascii="Arial" w:eastAsia="Times New Roman" w:hAnsi="Arial" w:cs="Arial"/>
      <w:sz w:val="24"/>
      <w:lang w:eastAsia="zh-CN"/>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2160"/>
      </w:tabs>
    </w:pPr>
    <w:rPr>
      <w:sz w:val="24"/>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Table-Text">
    <w:name w:val="Table - Text"/>
    <w:basedOn w:val="Normal"/>
    <w:qFormat/>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numbering" w:customStyle="1" w:styleId="CurrentList1">
    <w:name w:val="Current List1"/>
    <w:uiPriority w:val="99"/>
  </w:style>
  <w:style w:type="numbering" w:customStyle="1" w:styleId="CurrentList2">
    <w:name w:val="Current List2"/>
    <w:uiPriority w:val="99"/>
  </w:style>
  <w:style w:type="numbering" w:customStyle="1" w:styleId="CurrentList3">
    <w:name w:val="Current List3"/>
    <w:uiPriority w:val="99"/>
  </w:style>
  <w:style w:type="numbering" w:customStyle="1" w:styleId="CurrentList4">
    <w:name w:val="Current List4"/>
    <w:uiPriority w:val="99"/>
  </w:style>
  <w:style w:type="numbering" w:customStyle="1" w:styleId="CurrentList5">
    <w:name w:val="Current List5"/>
    <w:uiPriority w:val="99"/>
  </w:style>
  <w:style w:type="table" w:customStyle="1" w:styleId="a7">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D88xJNTXt84JjsNJUqOaMuKzEQ==">CgMxLjAyCWlkLmdqZGd4czIKaWQuMzBqMHpsbDIJaC4zMGowemxsMgloLjFmb2I5dGUyCmlkLjJldDkycDAyCWguM3pueXNoNzIJaC4yZXQ5MnAwMghoLnR5amN3dDIJaC4yczhleW8xMgloLjQ0c2luaW8yCWguMWtzdjR1djIKaWQuMmp4c3hxaDIJaC4xdDNoNXNmOAByITFicmR6VkpHVk1rRDUzUWdzRDNXbnYxNDZuWm5lVU5yVw==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3313</Characters>
  <Application>Microsoft Office Word</Application>
  <DocSecurity>0</DocSecurity>
  <Lines>27</Lines>
  <Paragraphs>7</Paragraphs>
  <ScaleCrop>false</ScaleCrop>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2</cp:revision>
  <dcterms:created xsi:type="dcterms:W3CDTF">2024-10-21T09:29:00Z</dcterms:created>
  <dcterms:modified xsi:type="dcterms:W3CDTF">2024-11-11T14:48:00Z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29b1c62f-229a-4e68-84e2-f927fd903b83</vt:lpwstr>
  </property>
</Properties>
</file>